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Arial" w:hAnsi="Arial"/>
        </w:rPr>
      </w:pPr>
    </w:p>
    <w:p>
      <w:pPr>
        <w:pStyle w:val="Normal (Web)"/>
        <w:rPr>
          <w:rFonts w:ascii="Arial" w:cs="Arial" w:hAnsi="Arial" w:eastAsia="Arial"/>
          <w:b w:val="1"/>
          <w:bCs w:val="1"/>
        </w:rPr>
      </w:pPr>
      <w:r>
        <w:rPr>
          <w:rFonts w:ascii="Arial" w:hAnsi="Arial"/>
          <w:b w:val="1"/>
          <w:bCs w:val="1"/>
          <w:rtl w:val="0"/>
          <w:lang w:val="en-US"/>
        </w:rPr>
        <w:t xml:space="preserve">30 Webinars in the EoE (Season 2) 50 CPDs from the RCPath (confirmed) </w:t>
      </w:r>
    </w:p>
    <w:p>
      <w:pPr>
        <w:pStyle w:val="Normal (Web)"/>
        <w:rPr>
          <w:rFonts w:ascii="Arial" w:cs="Arial" w:hAnsi="Arial" w:eastAsia="Arial"/>
          <w:b w:val="1"/>
          <w:bCs w:val="1"/>
        </w:rPr>
      </w:pPr>
      <w:r>
        <w:rPr>
          <w:rFonts w:ascii="Arial" w:hAnsi="Arial"/>
          <w:b w:val="1"/>
          <w:bCs w:val="1"/>
          <w:rtl w:val="0"/>
          <w:lang w:val="en-US"/>
        </w:rPr>
        <w:t>Organisers:  Drs Salma Al Ramadhani, Preethi Gopinath, Maria O</w:t>
      </w:r>
      <w:r>
        <w:rPr>
          <w:rFonts w:ascii="Arial" w:hAnsi="Arial" w:hint="default"/>
          <w:b w:val="1"/>
          <w:bCs w:val="1"/>
          <w:rtl w:val="0"/>
          <w:lang w:val="en-US"/>
        </w:rPr>
        <w:t>’</w:t>
      </w:r>
      <w:r>
        <w:rPr>
          <w:rFonts w:ascii="Arial" w:hAnsi="Arial"/>
          <w:b w:val="1"/>
          <w:bCs w:val="1"/>
          <w:rtl w:val="0"/>
          <w:lang w:val="en-US"/>
        </w:rPr>
        <w:t xml:space="preserve">Donovan, Vasi Sundaresan </w:t>
      </w:r>
    </w:p>
    <w:p>
      <w:pPr>
        <w:pStyle w:val="Normal (Web)"/>
        <w:rPr>
          <w:rStyle w:val="None"/>
          <w:rFonts w:ascii="Arial" w:cs="Arial" w:hAnsi="Arial" w:eastAsia="Arial"/>
          <w:b w:val="1"/>
          <w:bCs w:val="1"/>
        </w:rPr>
      </w:pPr>
      <w:r>
        <w:rPr>
          <w:rStyle w:val="Hyperlink.0"/>
        </w:rPr>
        <w:fldChar w:fldCharType="begin" w:fldLock="0"/>
      </w:r>
      <w:r>
        <w:rPr>
          <w:rStyle w:val="Hyperlink.0"/>
        </w:rPr>
        <w:instrText xml:space="preserve"> HYPERLINK "http://www.histopathologyCPD.com"</w:instrText>
      </w:r>
      <w:r>
        <w:rPr>
          <w:rStyle w:val="Hyperlink.0"/>
        </w:rPr>
        <w:fldChar w:fldCharType="separate" w:fldLock="0"/>
      </w:r>
      <w:r>
        <w:rPr>
          <w:rStyle w:val="Hyperlink.0"/>
          <w:rtl w:val="0"/>
        </w:rPr>
        <w:t>www.histopathologyCPD.com</w:t>
      </w:r>
      <w:r>
        <w:rPr/>
        <w:fldChar w:fldCharType="end" w:fldLock="0"/>
      </w:r>
      <w:r>
        <w:rPr>
          <w:rStyle w:val="None"/>
          <w:rFonts w:ascii="Arial" w:hAnsi="Arial"/>
          <w:b w:val="1"/>
          <w:bCs w:val="1"/>
          <w:rtl w:val="0"/>
          <w:lang w:val="en-US"/>
        </w:rPr>
        <w:t xml:space="preserve">    Email: </w:t>
      </w:r>
      <w:r>
        <w:rPr>
          <w:rStyle w:val="Hyperlink.0"/>
        </w:rPr>
        <w:fldChar w:fldCharType="begin" w:fldLock="0"/>
      </w:r>
      <w:r>
        <w:rPr>
          <w:rStyle w:val="Hyperlink.0"/>
        </w:rPr>
        <w:instrText xml:space="preserve"> HYPERLINK "mailto:histopathologyCPD@gmail.com"</w:instrText>
      </w:r>
      <w:r>
        <w:rPr>
          <w:rStyle w:val="Hyperlink.0"/>
        </w:rPr>
        <w:fldChar w:fldCharType="separate" w:fldLock="0"/>
      </w:r>
      <w:r>
        <w:rPr>
          <w:rStyle w:val="Hyperlink.0"/>
          <w:rtl w:val="0"/>
        </w:rPr>
        <w:t>histopathologyCPD@gmail.com</w:t>
      </w:r>
      <w:r>
        <w:rPr/>
        <w:fldChar w:fldCharType="end" w:fldLock="0"/>
      </w:r>
    </w:p>
    <w:p>
      <w:pPr>
        <w:pStyle w:val="Normal (Web)"/>
        <w:rPr>
          <w:rStyle w:val="Hyperlink.0"/>
        </w:rPr>
      </w:pPr>
      <w:r>
        <w:rPr>
          <w:rStyle w:val="None"/>
          <w:rFonts w:ascii="Arial" w:hAnsi="Arial"/>
          <w:b w:val="1"/>
          <w:bCs w:val="1"/>
          <w:rtl w:val="0"/>
          <w:lang w:val="en-US"/>
        </w:rPr>
        <w:t xml:space="preserve">Registration Link </w:t>
      </w:r>
      <w:r>
        <w:rPr>
          <w:rStyle w:val="Hyperlink.0"/>
        </w:rPr>
        <w:fldChar w:fldCharType="begin" w:fldLock="0"/>
      </w:r>
      <w:r>
        <w:rPr>
          <w:rStyle w:val="Hyperlink.0"/>
        </w:rPr>
        <w:instrText xml:space="preserve"> HYPERLINK "https://forms.gle/DcPhwYdgEX1LHKh17"</w:instrText>
      </w:r>
      <w:r>
        <w:rPr>
          <w:rStyle w:val="Hyperlink.0"/>
        </w:rPr>
        <w:fldChar w:fldCharType="separate" w:fldLock="0"/>
      </w:r>
      <w:r>
        <w:rPr>
          <w:rStyle w:val="Hyperlink.0"/>
          <w:rtl w:val="0"/>
        </w:rPr>
        <w:t>Press her</w:t>
      </w:r>
      <w:r>
        <w:rPr>
          <w:rStyle w:val="None"/>
          <w:rFonts w:ascii="Arial" w:hAnsi="Arial"/>
          <w:b w:val="1"/>
          <w:bCs w:val="1"/>
          <w:rtl w:val="0"/>
          <w:lang w:val="en-US"/>
        </w:rPr>
        <w:t>e</w:t>
      </w:r>
      <w:r>
        <w:rPr/>
        <w:fldChar w:fldCharType="end" w:fldLock="0"/>
      </w:r>
      <w:r>
        <w:rPr>
          <w:rStyle w:val="Hyperlink.0"/>
        </w:rPr>
        <mc:AlternateContent>
          <mc:Choice Requires="wpg">
            <w:drawing>
              <wp:anchor distT="57150" distB="57150" distL="57150" distR="57150" simplePos="0" relativeHeight="251660288" behindDoc="0" locked="0" layoutInCell="1" allowOverlap="1">
                <wp:simplePos x="0" y="0"/>
                <wp:positionH relativeFrom="margin">
                  <wp:posOffset>89538</wp:posOffset>
                </wp:positionH>
                <wp:positionV relativeFrom="line">
                  <wp:posOffset>395604</wp:posOffset>
                </wp:positionV>
                <wp:extent cx="3931015" cy="2241858"/>
                <wp:effectExtent l="0" t="0" r="0" b="0"/>
                <wp:wrapSquare wrapText="bothSides" distL="57150" distR="57150" distT="57150" distB="57150"/>
                <wp:docPr id="1073741827" name="officeArt object" descr="A person sitting in front of a bookshelf&#10;&#10;Description automatically generated with medium confidence"/>
                <wp:cNvGraphicFramePr/>
                <a:graphic xmlns:a="http://schemas.openxmlformats.org/drawingml/2006/main">
                  <a:graphicData uri="http://schemas.microsoft.com/office/word/2010/wordprocessingGroup">
                    <wpg:wgp>
                      <wpg:cNvGrpSpPr/>
                      <wpg:grpSpPr>
                        <a:xfrm>
                          <a:off x="0" y="0"/>
                          <a:ext cx="3931015" cy="2241858"/>
                          <a:chOff x="0" y="0"/>
                          <a:chExt cx="3931014" cy="2241857"/>
                        </a:xfrm>
                      </wpg:grpSpPr>
                      <pic:pic xmlns:pic="http://schemas.openxmlformats.org/drawingml/2006/picture">
                        <pic:nvPicPr>
                          <pic:cNvPr id="1073741826" name="A person sitting in front of a bookshelf&#10;&#10;Description automatically generated with medium confidence" descr="A person sitting in front of a bookshelfDescription automatically generated with medium confidence"/>
                          <pic:cNvPicPr>
                            <a:picLocks noChangeAspect="1"/>
                          </pic:cNvPicPr>
                        </pic:nvPicPr>
                        <pic:blipFill>
                          <a:blip r:embed="rId4">
                            <a:extLst/>
                          </a:blip>
                          <a:stretch>
                            <a:fillRect/>
                          </a:stretch>
                        </pic:blipFill>
                        <pic:spPr>
                          <a:xfrm>
                            <a:off x="203200" y="203200"/>
                            <a:ext cx="3524615" cy="1797358"/>
                          </a:xfrm>
                          <a:prstGeom prst="rect">
                            <a:avLst/>
                          </a:prstGeom>
                          <a:ln>
                            <a:noFill/>
                          </a:ln>
                          <a:effectLst/>
                        </pic:spPr>
                      </pic:pic>
                      <pic:pic xmlns:pic="http://schemas.openxmlformats.org/drawingml/2006/picture">
                        <pic:nvPicPr>
                          <pic:cNvPr id="1073741825" name="A person sitting in front of a bookshelf&#10;&#10;Description automatically generated with medium confidence" descr="A person sitting in front of a bookshelfDescription automatically generated with medium confidence"/>
                          <pic:cNvPicPr>
                            <a:picLocks noChangeAspect="0"/>
                          </pic:cNvPicPr>
                        </pic:nvPicPr>
                        <pic:blipFill>
                          <a:blip r:embed="rId5">
                            <a:extLst/>
                          </a:blip>
                          <a:stretch>
                            <a:fillRect/>
                          </a:stretch>
                        </pic:blipFill>
                        <pic:spPr>
                          <a:xfrm>
                            <a:off x="0" y="0"/>
                            <a:ext cx="3931015" cy="2241858"/>
                          </a:xfrm>
                          <a:prstGeom prst="rect">
                            <a:avLst/>
                          </a:prstGeom>
                          <a:effectLst/>
                        </pic:spPr>
                      </pic:pic>
                    </wpg:wgp>
                  </a:graphicData>
                </a:graphic>
              </wp:anchor>
            </w:drawing>
          </mc:Choice>
          <mc:Fallback>
            <w:pict>
              <v:group id="_x0000_s1026" style="visibility:visible;position:absolute;margin-left:7.1pt;margin-top:31.1pt;width:309.5pt;height:176.5pt;z-index:251660288;mso-position-horizontal:absolute;mso-position-horizontal-relative:margin;mso-position-vertical:absolute;mso-position-vertical-relative:line;mso-wrap-distance-left:4.5pt;mso-wrap-distance-top:4.5pt;mso-wrap-distance-right:4.5pt;mso-wrap-distance-bottom:4.5pt;" coordorigin="0,0" coordsize="3931015,2241858">
                <w10:wrap type="square" side="bothSides" anchorx="margin"/>
                <v:shape id="_x0000_s1027" type="#_x0000_t75" style="position:absolute;left:203200;top:203200;width:3524615;height:1797358;">
                  <v:imagedata r:id="rId4" o:title="image1.png"/>
                </v:shape>
                <v:shape id="_x0000_s1028" type="#_x0000_t75" style="position:absolute;left:0;top:0;width:3931015;height:2241858;">
                  <v:imagedata r:id="rId5" o:title=""/>
                </v:shape>
              </v:group>
            </w:pict>
          </mc:Fallback>
        </mc:AlternateContent>
      </w:r>
    </w:p>
    <w:p>
      <w:pPr>
        <w:pStyle w:val="Body A"/>
        <w:rPr>
          <w:rStyle w:val="None"/>
          <w:rFonts w:ascii="Times New Roman" w:cs="Times New Roman" w:hAnsi="Times New Roman" w:eastAsia="Times New Roman"/>
        </w:rPr>
      </w:pPr>
      <w:r>
        <w:rPr>
          <w:rStyle w:val="None"/>
          <w:rFonts w:ascii="Arial" w:hAnsi="Arial"/>
          <w:b w:val="1"/>
          <w:bCs w:val="1"/>
          <w:rtl w:val="0"/>
          <w:lang w:val="da-DK"/>
        </w:rPr>
        <w:t xml:space="preserve">Target </w:t>
      </w:r>
      <w:r>
        <w:rPr>
          <w:rStyle w:val="None"/>
          <w:rFonts w:ascii="Arial" w:hAnsi="Arial"/>
          <w:b w:val="1"/>
          <w:bCs w:val="1"/>
          <w:rtl w:val="0"/>
          <w:lang w:val="en-US"/>
        </w:rPr>
        <w:t xml:space="preserve">Audience: </w:t>
      </w:r>
      <w:r>
        <w:rPr>
          <w:rStyle w:val="None"/>
          <w:rFonts w:ascii="Arial" w:hAnsi="Arial"/>
          <w:rtl w:val="0"/>
          <w:lang w:val="en-US"/>
        </w:rPr>
        <w:t xml:space="preserve"> Consultant Histopathologists and trainees in the UK and overseas who want to refresh or update their current knowledge (</w:t>
      </w:r>
      <w:r>
        <w:rPr>
          <w:rStyle w:val="Hyperlink.1"/>
          <w:rFonts w:ascii="Arial" w:cs="Arial" w:hAnsi="Arial" w:eastAsia="Arial"/>
          <w:outline w:val="0"/>
          <w:color w:val="0000ff"/>
          <w:u w:val="single" w:color="0000ff"/>
          <w:lang w:val="en-US"/>
        </w:rPr>
        <w:fldChar w:fldCharType="begin" w:fldLock="0"/>
      </w:r>
      <w:r>
        <w:rPr>
          <w:rStyle w:val="Hyperlink.1"/>
          <w:rFonts w:ascii="Arial" w:cs="Arial" w:hAnsi="Arial" w:eastAsia="Arial"/>
          <w:outline w:val="0"/>
          <w:color w:val="0000ff"/>
          <w:u w:val="single" w:color="0000ff"/>
          <w:lang w:val="en-US"/>
        </w:rPr>
        <w:instrText xml:space="preserve"> HYPERLINK "https://player.vimeo.com/external/554164592.hd.mp4?s=f7b557f46737c8928e449f1848db29176793adf4&amp;profile_id=175"</w:instrText>
      </w:r>
      <w:r>
        <w:rPr>
          <w:rStyle w:val="Hyperlink.1"/>
          <w:rFonts w:ascii="Arial" w:cs="Arial" w:hAnsi="Arial" w:eastAsia="Arial"/>
          <w:outline w:val="0"/>
          <w:color w:val="0000ff"/>
          <w:u w:val="single" w:color="0000ff"/>
          <w:lang w:val="en-US"/>
        </w:rPr>
        <w:fldChar w:fldCharType="separate" w:fldLock="0"/>
      </w:r>
      <w:r>
        <w:rPr>
          <w:rStyle w:val="Hyperlink.1"/>
          <w:rFonts w:ascii="Arial" w:hAnsi="Arial"/>
          <w:outline w:val="0"/>
          <w:color w:val="0000ff"/>
          <w:u w:val="single" w:color="0000ff"/>
          <w:rtl w:val="0"/>
          <w:lang w:val="en-US"/>
        </w:rPr>
        <w:t>See the video</w:t>
      </w:r>
      <w:r>
        <w:rPr/>
        <w:fldChar w:fldCharType="end" w:fldLock="0"/>
      </w:r>
      <w:r>
        <w:rPr>
          <w:rStyle w:val="None"/>
          <w:rFonts w:ascii="Arial" w:hAnsi="Arial"/>
          <w:rtl w:val="0"/>
          <w:lang w:val="en-US"/>
        </w:rPr>
        <w:t xml:space="preserve">). </w:t>
      </w:r>
    </w:p>
    <w:p>
      <w:pPr>
        <w:pStyle w:val="Normal (Web)"/>
        <w:rPr>
          <w:rStyle w:val="None"/>
          <w:rFonts w:ascii="Arial" w:cs="Arial" w:hAnsi="Arial" w:eastAsia="Arial"/>
        </w:rPr>
      </w:pPr>
      <w:r>
        <w:rPr>
          <w:rStyle w:val="None"/>
          <w:rFonts w:ascii="Arial" w:hAnsi="Arial"/>
          <w:b w:val="1"/>
          <w:bCs w:val="1"/>
          <w:rtl w:val="0"/>
          <w:lang w:val="en-US"/>
        </w:rPr>
        <w:t xml:space="preserve">Course Content: </w:t>
      </w:r>
      <w:r>
        <w:rPr>
          <w:rStyle w:val="None"/>
          <w:rFonts w:ascii="Arial" w:hAnsi="Arial"/>
          <w:rtl w:val="0"/>
          <w:lang w:val="en-US"/>
        </w:rPr>
        <w:t xml:space="preserve">Each webinar will cover a specialty topic with the updates centred on scanned slides.  Two of the sessions cover </w:t>
      </w:r>
      <w:r>
        <w:drawing>
          <wp:anchor distT="57150" distB="57150" distL="57150" distR="57150" simplePos="0" relativeHeight="251659264" behindDoc="0" locked="0" layoutInCell="1" allowOverlap="1">
            <wp:simplePos x="0" y="0"/>
            <wp:positionH relativeFrom="column">
              <wp:posOffset>-105989</wp:posOffset>
            </wp:positionH>
            <wp:positionV relativeFrom="line">
              <wp:posOffset>114300</wp:posOffset>
            </wp:positionV>
            <wp:extent cx="1137285" cy="1389380"/>
            <wp:effectExtent l="0" t="0" r="0" b="0"/>
            <wp:wrapSquare wrapText="bothSides" distL="57150" distR="57150" distT="57150" distB="57150"/>
            <wp:docPr id="1073741828" name="officeArt object" descr="page1image36086512"/>
            <wp:cNvGraphicFramePr/>
            <a:graphic xmlns:a="http://schemas.openxmlformats.org/drawingml/2006/main">
              <a:graphicData uri="http://schemas.openxmlformats.org/drawingml/2006/picture">
                <pic:pic xmlns:pic="http://schemas.openxmlformats.org/drawingml/2006/picture">
                  <pic:nvPicPr>
                    <pic:cNvPr id="1073741828" name="page1image36086512" descr="page1image36086512"/>
                    <pic:cNvPicPr>
                      <a:picLocks noChangeAspect="1"/>
                    </pic:cNvPicPr>
                  </pic:nvPicPr>
                  <pic:blipFill>
                    <a:blip r:embed="rId6">
                      <a:extLst/>
                    </a:blip>
                    <a:stretch>
                      <a:fillRect/>
                    </a:stretch>
                  </pic:blipFill>
                  <pic:spPr>
                    <a:xfrm>
                      <a:off x="0" y="0"/>
                      <a:ext cx="1137285" cy="1389380"/>
                    </a:xfrm>
                    <a:prstGeom prst="rect">
                      <a:avLst/>
                    </a:prstGeom>
                    <a:ln w="12700" cap="flat">
                      <a:noFill/>
                      <a:miter lim="400000"/>
                    </a:ln>
                    <a:effectLst/>
                  </pic:spPr>
                </pic:pic>
              </a:graphicData>
            </a:graphic>
          </wp:anchor>
        </w:drawing>
      </w:r>
      <w:r>
        <w:rPr>
          <w:rStyle w:val="None"/>
          <w:rFonts w:ascii="Arial" w:hAnsi="Arial"/>
          <w:rtl w:val="0"/>
          <w:lang w:val="en-US"/>
        </w:rPr>
        <w:t xml:space="preserve">updates on post-mortem which will be delivered in lecture format: examination of the brain and of the cardiorespiratory system. </w:t>
      </w:r>
    </w:p>
    <w:p>
      <w:pPr>
        <w:pStyle w:val="Normal (Web)"/>
        <w:rPr>
          <w:rStyle w:val="None"/>
          <w:rFonts w:ascii="Arial" w:cs="Arial" w:hAnsi="Arial" w:eastAsia="Arial"/>
        </w:rPr>
      </w:pPr>
      <w:r>
        <w:rPr>
          <w:rStyle w:val="None"/>
          <w:rFonts w:ascii="Arial" w:hAnsi="Arial"/>
          <w:rtl w:val="0"/>
          <w:lang w:val="en-US"/>
        </w:rPr>
        <w:t xml:space="preserve">The emphasis will be on interpreting the histology in the context of clinicopathological correlation. The level of difficulty of the cases will be varied and will aim to imitate real-life cases, ranging from straight-forward diagnoses to complex cases that require further work and central review. The case selection will be similar to what may be seen in an EQA setting and in many sessions topics covered will include diagnostic and interpretive challenges. </w:t>
      </w:r>
    </w:p>
    <w:p>
      <w:pPr>
        <w:pStyle w:val="Normal (Web)"/>
        <w:rPr>
          <w:rStyle w:val="None"/>
          <w:rFonts w:ascii="Arial" w:cs="Arial" w:hAnsi="Arial" w:eastAsia="Arial"/>
        </w:rPr>
      </w:pPr>
      <w:r>
        <w:rPr>
          <w:rStyle w:val="None"/>
          <w:rFonts w:ascii="Arial" w:hAnsi="Arial"/>
          <w:b w:val="1"/>
          <w:bCs w:val="1"/>
          <w:rtl w:val="0"/>
          <w:lang w:val="en-US"/>
        </w:rPr>
        <w:t xml:space="preserve">Delivery of Webinars: </w:t>
      </w:r>
      <w:r>
        <w:rPr>
          <w:rStyle w:val="None"/>
          <w:rFonts w:ascii="Arial" w:hAnsi="Arial"/>
          <w:rtl w:val="0"/>
          <w:lang w:val="en-US"/>
        </w:rPr>
        <w:t xml:space="preserve"> Due to the Covid-19 pandemic, the course organisers have had to adjust to delivering a totally virtual webinar series of teaching sessions.</w:t>
      </w:r>
      <w:r>
        <w:rPr>
          <w:rStyle w:val="None"/>
          <w:rFonts w:ascii="Arial Unicode MS" w:cs="Arial Unicode MS" w:hAnsi="Arial Unicode MS" w:eastAsia="Arial Unicode MS"/>
          <w:b w:val="0"/>
          <w:bCs w:val="0"/>
          <w:i w:val="0"/>
          <w:iCs w:val="0"/>
        </w:rPr>
        <w:br w:type="textWrapping"/>
      </w:r>
      <w:r>
        <w:rPr>
          <w:rStyle w:val="None"/>
          <w:rFonts w:ascii="Arial" w:hAnsi="Arial"/>
          <w:rtl w:val="0"/>
          <w:lang w:val="en-US"/>
        </w:rPr>
        <w:t>These will be delivered on the Zoom platform enabling anyone with internet access and an Android or Apple device to access the webinars.</w:t>
      </w:r>
      <w:r>
        <w:rPr>
          <w:rStyle w:val="None"/>
          <w:rFonts w:ascii="Arial Unicode MS" w:cs="Arial Unicode MS" w:hAnsi="Arial Unicode MS" w:eastAsia="Arial Unicode MS"/>
          <w:b w:val="0"/>
          <w:bCs w:val="0"/>
          <w:i w:val="0"/>
          <w:iCs w:val="0"/>
        </w:rPr>
        <w:br w:type="textWrapping"/>
      </w:r>
      <w:r>
        <w:rPr>
          <w:rStyle w:val="None"/>
          <w:rFonts w:ascii="Arial" w:hAnsi="Arial"/>
          <w:rtl w:val="0"/>
          <w:lang w:val="en-US"/>
        </w:rPr>
        <w:t>The webinar sessions will run from 10am to 12pm on Saturdays to accommodate overseas delegates and the faculty to deliver the webinars. The faculty will present approximately 20 cases highlighting important diagnoses in routine practice and will discuss relevant management issues and provide clinicopathological correlation.</w:t>
      </w:r>
      <w:r>
        <w:rPr>
          <w:rStyle w:val="None"/>
          <w:rFonts w:ascii="Arial Unicode MS" w:cs="Arial Unicode MS" w:hAnsi="Arial Unicode MS" w:eastAsia="Arial Unicode MS"/>
          <w:b w:val="0"/>
          <w:bCs w:val="0"/>
          <w:i w:val="0"/>
          <w:iCs w:val="0"/>
        </w:rPr>
        <w:br w:type="textWrapping"/>
      </w:r>
      <w:r>
        <w:rPr>
          <w:rStyle w:val="None"/>
          <w:rFonts w:ascii="Arial" w:hAnsi="Arial"/>
          <w:rtl w:val="0"/>
          <w:lang w:val="en-US"/>
        </w:rPr>
        <w:t xml:space="preserve">These sessions will be recorded. Access to the course materials to those wishing to review course materials (scanned slides and Videos-with links) will be through the app on both IoS and Android Tablet. Those with fixed commitments on Saturday will be able to review course materials after the event and a reflective note would facilitate recognition for CPD purposes. </w:t>
      </w:r>
    </w:p>
    <w:p>
      <w:pPr>
        <w:pStyle w:val="Normal (Web)"/>
      </w:pPr>
      <w:r>
        <w:rPr>
          <w:rStyle w:val="None"/>
          <w:rFonts w:ascii="Arial" w:hAnsi="Arial"/>
          <w:rtl w:val="0"/>
          <w:lang w:val="en-US"/>
        </w:rPr>
        <w:t xml:space="preserve">Those with iPads or Android tablets can have the course material uploaded automatically a week in advance on the tester app (appstudio). Usernames and passwords will be provided once registered and course fees are paid. The answers to the cases/slides and the videos hosted on Vimeo will be available for viewing on the appstudio platform which is username and password protected. </w:t>
      </w:r>
      <w:r>
        <w:rPr>
          <w:rStyle w:val="None"/>
          <w:rFonts w:ascii="Arial Unicode MS" w:cs="Arial Unicode MS" w:hAnsi="Arial Unicode MS" w:eastAsia="Arial Unicode MS"/>
          <w:b w:val="0"/>
          <w:bCs w:val="0"/>
          <w:i w:val="0"/>
          <w:iCs w:val="0"/>
        </w:rPr>
        <w:br w:type="page"/>
      </w:r>
    </w:p>
    <w:p>
      <w:pPr>
        <w:pStyle w:val="Normal (Web)"/>
        <w:rPr>
          <w:rStyle w:val="None"/>
          <w:rFonts w:ascii="Arial" w:cs="Arial" w:hAnsi="Arial" w:eastAsia="Arial"/>
          <w:b w:val="1"/>
          <w:bCs w:val="1"/>
        </w:rPr>
      </w:pPr>
      <w:r>
        <w:rPr>
          <w:rStyle w:val="None"/>
          <w:rFonts w:ascii="Arial" w:hAnsi="Arial"/>
          <w:b w:val="1"/>
          <w:bCs w:val="1"/>
          <w:rtl w:val="0"/>
          <w:lang w:val="en-US"/>
        </w:rPr>
        <w:t xml:space="preserve">CPD Points </w:t>
      </w:r>
    </w:p>
    <w:p>
      <w:pPr>
        <w:pStyle w:val="Normal (Web)"/>
        <w:rPr>
          <w:rStyle w:val="None"/>
          <w:rFonts w:ascii="Arial" w:cs="Arial" w:hAnsi="Arial" w:eastAsia="Arial"/>
        </w:rPr>
      </w:pPr>
      <w:r>
        <w:rPr>
          <w:rStyle w:val="None"/>
          <w:rFonts w:ascii="Arial" w:hAnsi="Arial"/>
          <w:rtl w:val="0"/>
          <w:lang w:val="en-US"/>
        </w:rPr>
        <w:t xml:space="preserve">The webinar will be a useful resource containing a range of diagnostic material across all main subspecialties in Histopathology and Cytopathology. Each webinar will last for 2 hours amounting to 2 CPD points/webinar. Delegates will be able to view approximately 20 slides before sessions and writing a reflective note will enable a further CPD point per session. For those Consultants that view slides before the Webinar and attend the entire programme, the total number of CPD points will be 50+30 (50 RCPath approved CPD points and 30 CPD points for reflective notes). Those who attend the session live will be sent a certificate of attendance with a CPD certificate at the end of each session. Trainees (not CPD registered) will be sent a certificate of attendance. Those Consultants (registered for RCPath CPD)  viewing slides and following the videos need to write a reflective note to document they have followed the webinars and self-accredit for CPD.  </w:t>
      </w:r>
    </w:p>
    <w:p>
      <w:pPr>
        <w:pStyle w:val="Body A"/>
        <w:rPr>
          <w:rStyle w:val="None"/>
          <w:rFonts w:ascii="Calibri" w:cs="Calibri" w:hAnsi="Calibri" w:eastAsia="Calibri"/>
          <w:b w:val="1"/>
          <w:bCs w:val="1"/>
        </w:rPr>
      </w:pPr>
      <w:r>
        <w:rPr>
          <w:rStyle w:val="None"/>
          <w:rFonts w:ascii="Calibri" w:cs="Calibri" w:hAnsi="Calibri" w:eastAsia="Calibri"/>
          <w:b w:val="1"/>
          <w:bCs w:val="1"/>
          <w:rtl w:val="0"/>
          <w:lang w:val="en-US"/>
        </w:rPr>
        <w:t>Speakers and Topics Webinars Nov 2021-2022</w:t>
      </w:r>
    </w:p>
    <w:p>
      <w:pPr>
        <w:pStyle w:val="Body A"/>
        <w:rPr>
          <w:rStyle w:val="None"/>
          <w:rFonts w:ascii="Arial" w:cs="Arial" w:hAnsi="Arial" w:eastAsia="Arial"/>
        </w:rPr>
      </w:pPr>
    </w:p>
    <w:tbl>
      <w:tblPr>
        <w:tblW w:w="9016"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562"/>
        <w:gridCol w:w="1134"/>
        <w:gridCol w:w="2410"/>
        <w:gridCol w:w="4910"/>
      </w:tblGrid>
      <w:tr>
        <w:tblPrEx>
          <w:shd w:val="clear" w:color="auto" w:fill="cdd4e9"/>
        </w:tblPrEx>
        <w:trPr>
          <w:trHeight w:val="503"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1</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13 Nov</w:t>
            </w: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Prof Neil Shepherd</w:t>
            </w:r>
          </w:p>
        </w:tc>
        <w:tc>
          <w:tcPr>
            <w:tcW w:type="dxa" w:w="4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A"/>
            </w:pPr>
            <w:r>
              <w:rPr>
                <w:rStyle w:val="None"/>
                <w:rFonts w:ascii="Arial" w:hAnsi="Arial"/>
                <w:sz w:val="22"/>
                <w:szCs w:val="22"/>
                <w:rtl w:val="0"/>
                <w:lang w:val="en-US"/>
              </w:rPr>
              <w:t>Polyps and tumours of the Gastrointestinal Tract</w:t>
            </w:r>
          </w:p>
        </w:tc>
      </w:tr>
      <w:tr>
        <w:tblPrEx>
          <w:shd w:val="clear" w:color="auto" w:fill="cdd4e9"/>
        </w:tblPrEx>
        <w:trPr>
          <w:trHeight w:val="273"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be4d5"/>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2</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be4d5"/>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20 Nov</w:t>
            </w: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be4d5"/>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Prof Naveena Singh</w:t>
            </w:r>
          </w:p>
        </w:tc>
        <w:tc>
          <w:tcPr>
            <w:tcW w:type="dxa" w:w="4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be4d5"/>
            <w:tcMar>
              <w:top w:type="dxa" w:w="80"/>
              <w:left w:type="dxa" w:w="80"/>
              <w:bottom w:type="dxa" w:w="80"/>
              <w:right w:type="dxa" w:w="80"/>
            </w:tcMar>
            <w:vAlign w:val="top"/>
          </w:tcPr>
          <w:p>
            <w:pPr>
              <w:pStyle w:val="Body A"/>
            </w:pPr>
            <w:r>
              <w:rPr>
                <w:rStyle w:val="None"/>
                <w:rFonts w:ascii="Arial" w:hAnsi="Arial"/>
                <w:sz w:val="22"/>
                <w:szCs w:val="22"/>
                <w:rtl w:val="0"/>
                <w:lang w:val="en-US"/>
              </w:rPr>
              <w:t>Pitfalls in reporting of endometrial pathology</w:t>
            </w:r>
          </w:p>
        </w:tc>
      </w:tr>
      <w:tr>
        <w:tblPrEx>
          <w:shd w:val="clear" w:color="auto" w:fill="cdd4e9"/>
        </w:tblPrEx>
        <w:trPr>
          <w:trHeight w:val="273"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3</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27 Nov</w:t>
            </w: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Prof Marco Novelli</w:t>
            </w:r>
          </w:p>
        </w:tc>
        <w:tc>
          <w:tcPr>
            <w:tcW w:type="dxa" w:w="4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A"/>
            </w:pPr>
            <w:r>
              <w:rPr>
                <w:rStyle w:val="None"/>
                <w:rFonts w:ascii="Arial" w:hAnsi="Arial"/>
                <w:sz w:val="22"/>
                <w:szCs w:val="22"/>
                <w:rtl w:val="0"/>
                <w:lang w:val="en-US"/>
              </w:rPr>
              <w:t>Dysplasia in the upper GI Tract</w:t>
            </w:r>
          </w:p>
        </w:tc>
      </w:tr>
      <w:tr>
        <w:tblPrEx>
          <w:shd w:val="clear" w:color="auto" w:fill="cdd4e9"/>
        </w:tblPrEx>
        <w:trPr>
          <w:trHeight w:val="753"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4</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4 Dec</w:t>
            </w: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Dr Maria O</w:t>
            </w:r>
            <w:r>
              <w:rPr>
                <w:rStyle w:val="None"/>
                <w:rFonts w:ascii="Arial" w:hAnsi="Arial" w:hint="default"/>
                <w:b w:val="1"/>
                <w:bCs w:val="1"/>
                <w:sz w:val="22"/>
                <w:szCs w:val="22"/>
                <w:rtl w:val="0"/>
                <w:lang w:val="en-US"/>
              </w:rPr>
              <w:t>’</w:t>
            </w:r>
            <w:r>
              <w:rPr>
                <w:rStyle w:val="None"/>
                <w:rFonts w:ascii="Arial" w:hAnsi="Arial"/>
                <w:b w:val="1"/>
                <w:bCs w:val="1"/>
                <w:sz w:val="22"/>
                <w:szCs w:val="22"/>
                <w:rtl w:val="0"/>
                <w:lang w:val="en-US"/>
              </w:rPr>
              <w:t>Donovan</w:t>
            </w:r>
          </w:p>
        </w:tc>
        <w:tc>
          <w:tcPr>
            <w:tcW w:type="dxa" w:w="4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A"/>
            </w:pPr>
            <w:r>
              <w:rPr>
                <w:rStyle w:val="None"/>
                <w:rFonts w:ascii="Arial" w:hAnsi="Arial"/>
                <w:sz w:val="22"/>
                <w:szCs w:val="22"/>
                <w:rtl w:val="0"/>
                <w:lang w:val="en-US"/>
              </w:rPr>
              <w:t>Sponge technology: implementation in early screening of oesophageal dysplasia and cancer diagnosis</w:t>
            </w:r>
          </w:p>
        </w:tc>
      </w:tr>
      <w:tr>
        <w:tblPrEx>
          <w:shd w:val="clear" w:color="auto" w:fill="cdd4e9"/>
        </w:tblPrEx>
        <w:trPr>
          <w:trHeight w:val="513"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5</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11 Dec</w:t>
            </w: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Prof TuVinh Luong</w:t>
            </w:r>
          </w:p>
        </w:tc>
        <w:tc>
          <w:tcPr>
            <w:tcW w:type="dxa" w:w="4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A"/>
            </w:pPr>
            <w:r>
              <w:rPr>
                <w:rStyle w:val="None"/>
                <w:rFonts w:ascii="Arial" w:hAnsi="Arial"/>
                <w:sz w:val="22"/>
                <w:szCs w:val="22"/>
                <w:rtl w:val="0"/>
                <w:lang w:val="en-US"/>
              </w:rPr>
              <w:t>CUP: Practical tips for the practising pathologists</w:t>
            </w:r>
          </w:p>
        </w:tc>
      </w:tr>
      <w:tr>
        <w:tblPrEx>
          <w:shd w:val="clear" w:color="auto" w:fill="cdd4e9"/>
        </w:tblPrEx>
        <w:trPr>
          <w:trHeight w:val="273"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2cc"/>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6</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2cc"/>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18 Dec</w:t>
            </w: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2cc"/>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Dr Alison Marker</w:t>
            </w:r>
          </w:p>
        </w:tc>
        <w:tc>
          <w:tcPr>
            <w:tcW w:type="dxa" w:w="4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2cc"/>
            <w:tcMar>
              <w:top w:type="dxa" w:w="80"/>
              <w:left w:type="dxa" w:w="80"/>
              <w:bottom w:type="dxa" w:w="80"/>
              <w:right w:type="dxa" w:w="80"/>
            </w:tcMar>
            <w:vAlign w:val="top"/>
          </w:tcPr>
          <w:p>
            <w:pPr>
              <w:pStyle w:val="Body A"/>
            </w:pPr>
            <w:r>
              <w:rPr>
                <w:rStyle w:val="None"/>
                <w:rFonts w:ascii="Arial" w:hAnsi="Arial"/>
                <w:sz w:val="22"/>
                <w:szCs w:val="22"/>
                <w:rtl w:val="0"/>
                <w:lang w:val="en-US"/>
              </w:rPr>
              <w:t>Head and Neck and Endocrine 1</w:t>
            </w:r>
          </w:p>
        </w:tc>
      </w:tr>
      <w:tr>
        <w:tblPrEx>
          <w:shd w:val="clear" w:color="auto" w:fill="cdd4e9"/>
        </w:tblPrEx>
        <w:trPr>
          <w:trHeight w:val="513"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7</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8 Jan</w:t>
            </w: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Dr Anne Warren</w:t>
            </w:r>
          </w:p>
        </w:tc>
        <w:tc>
          <w:tcPr>
            <w:tcW w:type="dxa" w:w="4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top"/>
          </w:tcPr>
          <w:p>
            <w:pPr>
              <w:pStyle w:val="Body A"/>
            </w:pPr>
            <w:r>
              <w:rPr>
                <w:rStyle w:val="None"/>
                <w:rFonts w:ascii="Arial" w:hAnsi="Arial"/>
                <w:sz w:val="22"/>
                <w:szCs w:val="22"/>
                <w:rtl w:val="0"/>
                <w:lang w:val="en-US"/>
              </w:rPr>
              <w:t>Update on reporting of Testicular Germ Cell Tumours</w:t>
            </w:r>
          </w:p>
        </w:tc>
      </w:tr>
      <w:tr>
        <w:tblPrEx>
          <w:shd w:val="clear" w:color="auto" w:fill="cdd4e9"/>
        </w:tblPrEx>
        <w:trPr>
          <w:trHeight w:val="513"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7caac"/>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8</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7caac"/>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15 Jan</w:t>
            </w: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7caac"/>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Dr Elena Provenzano</w:t>
            </w:r>
          </w:p>
        </w:tc>
        <w:tc>
          <w:tcPr>
            <w:tcW w:type="dxa" w:w="4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7caac"/>
            <w:tcMar>
              <w:top w:type="dxa" w:w="80"/>
              <w:left w:type="dxa" w:w="80"/>
              <w:bottom w:type="dxa" w:w="80"/>
              <w:right w:type="dxa" w:w="80"/>
            </w:tcMar>
            <w:vAlign w:val="top"/>
          </w:tcPr>
          <w:p>
            <w:pPr>
              <w:pStyle w:val="Body A"/>
            </w:pPr>
            <w:r>
              <w:rPr>
                <w:rStyle w:val="None"/>
                <w:rFonts w:ascii="Arial" w:hAnsi="Arial"/>
                <w:sz w:val="22"/>
                <w:szCs w:val="22"/>
                <w:rtl w:val="0"/>
                <w:lang w:val="en-US"/>
              </w:rPr>
              <w:t>Reporting of post chemo- breast and axillary specimens</w:t>
            </w:r>
          </w:p>
        </w:tc>
      </w:tr>
      <w:tr>
        <w:tblPrEx>
          <w:shd w:val="clear" w:color="auto" w:fill="cdd4e9"/>
        </w:tblPrEx>
        <w:trPr>
          <w:trHeight w:val="493"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7caac"/>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9</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7caac"/>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22 Jan</w:t>
            </w: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7caac"/>
            <w:tcMar>
              <w:top w:type="dxa" w:w="80"/>
              <w:left w:type="dxa" w:w="80"/>
              <w:bottom w:type="dxa" w:w="80"/>
              <w:right w:type="dxa" w:w="80"/>
            </w:tcMar>
            <w:vAlign w:val="top"/>
          </w:tcPr>
          <w:p>
            <w:pPr>
              <w:pStyle w:val="Body A"/>
            </w:pPr>
            <w:r>
              <w:rPr>
                <w:rStyle w:val="None"/>
                <w:rFonts w:ascii="Arial" w:hAnsi="Arial"/>
                <w:sz w:val="22"/>
                <w:szCs w:val="22"/>
                <w:rtl w:val="0"/>
                <w:lang w:val="en-US"/>
              </w:rPr>
              <w:t>Dr Andrew Lee</w:t>
            </w:r>
          </w:p>
        </w:tc>
        <w:tc>
          <w:tcPr>
            <w:tcW w:type="dxa" w:w="4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7caac"/>
            <w:tcMar>
              <w:top w:type="dxa" w:w="80"/>
              <w:left w:type="dxa" w:w="80"/>
              <w:bottom w:type="dxa" w:w="80"/>
              <w:right w:type="dxa" w:w="80"/>
            </w:tcMar>
            <w:vAlign w:val="top"/>
          </w:tcPr>
          <w:p>
            <w:pPr>
              <w:pStyle w:val="Body A"/>
              <w:rPr>
                <w:rStyle w:val="None"/>
                <w:rFonts w:ascii="Arial" w:cs="Arial" w:hAnsi="Arial" w:eastAsia="Arial"/>
                <w:sz w:val="22"/>
                <w:szCs w:val="22"/>
              </w:rPr>
            </w:pPr>
            <w:r>
              <w:rPr>
                <w:rStyle w:val="None"/>
                <w:rFonts w:ascii="Arial" w:hAnsi="Arial"/>
                <w:sz w:val="22"/>
                <w:szCs w:val="22"/>
                <w:rtl w:val="0"/>
                <w:lang w:val="en-US"/>
              </w:rPr>
              <w:t xml:space="preserve">Diagnostic pitfalls of breast core biopsy </w:t>
            </w:r>
          </w:p>
          <w:p>
            <w:pPr>
              <w:pStyle w:val="Body A"/>
              <w:bidi w:val="0"/>
              <w:ind w:left="0" w:right="0" w:firstLine="0"/>
              <w:jc w:val="left"/>
              <w:rPr>
                <w:rtl w:val="0"/>
              </w:rPr>
            </w:pPr>
            <w:r>
              <w:rPr>
                <w:rStyle w:val="None"/>
                <w:rFonts w:ascii="Arial" w:hAnsi="Arial"/>
                <w:sz w:val="22"/>
                <w:szCs w:val="22"/>
                <w:rtl w:val="0"/>
                <w:lang w:val="en-US"/>
              </w:rPr>
              <w:t>diagnosis</w:t>
            </w:r>
          </w:p>
        </w:tc>
      </w:tr>
      <w:tr>
        <w:tblPrEx>
          <w:shd w:val="clear" w:color="auto" w:fill="cdd4e9"/>
        </w:tblPrEx>
        <w:trPr>
          <w:trHeight w:val="513"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10</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29 Jan</w:t>
            </w: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Prof TuVinh Luong</w:t>
            </w:r>
          </w:p>
        </w:tc>
        <w:tc>
          <w:tcPr>
            <w:tcW w:type="dxa" w:w="4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A"/>
            </w:pPr>
            <w:r>
              <w:rPr>
                <w:rStyle w:val="None"/>
                <w:rFonts w:ascii="Arial" w:hAnsi="Arial"/>
                <w:sz w:val="22"/>
                <w:szCs w:val="22"/>
                <w:rtl w:val="0"/>
                <w:lang w:val="en-US"/>
              </w:rPr>
              <w:t>The Good, the bad and the ugly in GEP-NET Pathology</w:t>
            </w:r>
          </w:p>
        </w:tc>
      </w:tr>
      <w:tr>
        <w:tblPrEx>
          <w:shd w:val="clear" w:color="auto" w:fill="cdd4e9"/>
        </w:tblPrEx>
        <w:trPr>
          <w:trHeight w:val="513"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11</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5 Feb</w:t>
            </w: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Prof Norman Carr</w:t>
            </w:r>
          </w:p>
        </w:tc>
        <w:tc>
          <w:tcPr>
            <w:tcW w:type="dxa" w:w="4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A"/>
            </w:pPr>
            <w:r>
              <w:rPr>
                <w:rStyle w:val="None"/>
                <w:rFonts w:ascii="Arial" w:hAnsi="Arial"/>
                <w:sz w:val="22"/>
                <w:szCs w:val="22"/>
                <w:rtl w:val="0"/>
                <w:lang w:val="en-US"/>
              </w:rPr>
              <w:t>Mucinous Appendiceal Tumours and their differential diagnosis</w:t>
            </w:r>
          </w:p>
        </w:tc>
      </w:tr>
      <w:tr>
        <w:tblPrEx>
          <w:shd w:val="clear" w:color="auto" w:fill="cdd4e9"/>
        </w:tblPrEx>
        <w:trPr>
          <w:trHeight w:val="513"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12</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12 Feb</w:t>
            </w: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Dr Shaun Walsh</w:t>
            </w:r>
          </w:p>
        </w:tc>
        <w:tc>
          <w:tcPr>
            <w:tcW w:type="dxa" w:w="4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A"/>
            </w:pPr>
            <w:r>
              <w:rPr>
                <w:rStyle w:val="None"/>
                <w:rFonts w:ascii="Arial" w:hAnsi="Arial"/>
                <w:sz w:val="22"/>
                <w:szCs w:val="22"/>
                <w:rtl w:val="0"/>
                <w:lang w:val="en-US"/>
              </w:rPr>
              <w:t>IBD: Common types and Mimics in Biopsy Diagnosis</w:t>
            </w:r>
          </w:p>
        </w:tc>
      </w:tr>
      <w:tr>
        <w:tblPrEx>
          <w:shd w:val="clear" w:color="auto" w:fill="cdd4e9"/>
        </w:tblPrEx>
        <w:trPr>
          <w:trHeight w:val="273"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13</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12 Mar</w:t>
            </w: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Body A"/>
            </w:pPr>
            <w:r>
              <w:rPr>
                <w:rStyle w:val="None"/>
                <w:rFonts w:ascii="Arial" w:hAnsi="Arial"/>
                <w:b w:val="1"/>
                <w:bCs w:val="1"/>
                <w:sz w:val="22"/>
                <w:szCs w:val="22"/>
                <w:u w:color="ff0000"/>
                <w:rtl w:val="0"/>
                <w:lang w:val="en-US"/>
              </w:rPr>
              <w:t>Prof Hazem Ibrahim</w:t>
            </w:r>
          </w:p>
        </w:tc>
        <w:tc>
          <w:tcPr>
            <w:tcW w:type="dxa" w:w="4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Body A"/>
            </w:pPr>
            <w:r>
              <w:rPr>
                <w:rStyle w:val="None"/>
                <w:rFonts w:ascii="Arial" w:hAnsi="Arial"/>
                <w:sz w:val="22"/>
                <w:szCs w:val="22"/>
                <w:rtl w:val="0"/>
                <w:lang w:val="en-US"/>
              </w:rPr>
              <w:t>Approaches to Difficult Melanocytic Lesions</w:t>
            </w:r>
          </w:p>
        </w:tc>
      </w:tr>
      <w:tr>
        <w:tblPrEx>
          <w:shd w:val="clear" w:color="auto" w:fill="cdd4e9"/>
        </w:tblPrEx>
        <w:trPr>
          <w:trHeight w:val="513"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be4d5"/>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14</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be4d5"/>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19 Mar</w:t>
            </w: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be4d5"/>
            <w:tcMar>
              <w:top w:type="dxa" w:w="80"/>
              <w:left w:type="dxa" w:w="80"/>
              <w:bottom w:type="dxa" w:w="80"/>
              <w:right w:type="dxa" w:w="80"/>
            </w:tcMar>
            <w:vAlign w:val="top"/>
          </w:tcPr>
          <w:p>
            <w:pPr>
              <w:pStyle w:val="Body A"/>
            </w:pPr>
            <w:r>
              <w:rPr>
                <w:rStyle w:val="None"/>
                <w:rFonts w:ascii="Arial" w:hAnsi="Arial"/>
                <w:b w:val="1"/>
                <w:bCs w:val="1"/>
                <w:sz w:val="22"/>
                <w:szCs w:val="22"/>
                <w:u w:color="ff0000"/>
                <w:rtl w:val="0"/>
                <w:lang w:val="en-US"/>
              </w:rPr>
              <w:t>Prof Naveena Singh</w:t>
            </w:r>
          </w:p>
        </w:tc>
        <w:tc>
          <w:tcPr>
            <w:tcW w:type="dxa" w:w="4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be4d5"/>
            <w:tcMar>
              <w:top w:type="dxa" w:w="80"/>
              <w:left w:type="dxa" w:w="80"/>
              <w:bottom w:type="dxa" w:w="80"/>
              <w:right w:type="dxa" w:w="80"/>
            </w:tcMar>
            <w:vAlign w:val="top"/>
          </w:tcPr>
          <w:p>
            <w:pPr>
              <w:pStyle w:val="Body A"/>
            </w:pPr>
            <w:r>
              <w:rPr>
                <w:rStyle w:val="None"/>
                <w:rFonts w:ascii="Arial" w:hAnsi="Arial"/>
                <w:sz w:val="22"/>
                <w:szCs w:val="22"/>
                <w:rtl w:val="0"/>
                <w:lang w:val="en-US"/>
              </w:rPr>
              <w:t>Reporting of Vulval lesions-Devil and other entities</w:t>
            </w:r>
          </w:p>
        </w:tc>
      </w:tr>
      <w:tr>
        <w:tblPrEx>
          <w:shd w:val="clear" w:color="auto" w:fill="cdd4e9"/>
        </w:tblPrEx>
        <w:trPr>
          <w:trHeight w:val="513"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be4d5"/>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15</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be4d5"/>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26 Mar</w:t>
            </w: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be4d5"/>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Dr Baljeet Kaur</w:t>
            </w:r>
          </w:p>
        </w:tc>
        <w:tc>
          <w:tcPr>
            <w:tcW w:type="dxa" w:w="4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be4d5"/>
            <w:tcMar>
              <w:top w:type="dxa" w:w="80"/>
              <w:left w:type="dxa" w:w="80"/>
              <w:bottom w:type="dxa" w:w="80"/>
              <w:right w:type="dxa" w:w="80"/>
            </w:tcMar>
            <w:vAlign w:val="top"/>
          </w:tcPr>
          <w:p>
            <w:pPr>
              <w:pStyle w:val="Body A"/>
            </w:pPr>
            <w:r>
              <w:rPr>
                <w:rStyle w:val="None"/>
                <w:rFonts w:ascii="Arial" w:hAnsi="Arial"/>
                <w:sz w:val="22"/>
                <w:szCs w:val="22"/>
                <w:rtl w:val="0"/>
                <w:lang w:val="en-US"/>
              </w:rPr>
              <w:t>Products of Conception: when to worry about them?</w:t>
            </w:r>
          </w:p>
        </w:tc>
      </w:tr>
      <w:tr>
        <w:tblPrEx>
          <w:shd w:val="clear" w:color="auto" w:fill="cdd4e9"/>
        </w:tblPrEx>
        <w:trPr>
          <w:trHeight w:val="511"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16</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 xml:space="preserve">2 April </w:t>
            </w: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Dr Anne Warren</w:t>
            </w:r>
          </w:p>
        </w:tc>
        <w:tc>
          <w:tcPr>
            <w:tcW w:type="dxa" w:w="4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top"/>
          </w:tcPr>
          <w:p>
            <w:pPr>
              <w:pStyle w:val="Body A"/>
            </w:pPr>
            <w:r>
              <w:rPr>
                <w:rStyle w:val="None"/>
                <w:sz w:val="22"/>
                <w:szCs w:val="22"/>
                <w:rtl w:val="0"/>
                <w:lang w:val="en-US"/>
              </w:rPr>
              <w:t>Variants of Bladder Cancer and discrimination from mimics and metastatic tumours</w:t>
            </w:r>
          </w:p>
        </w:tc>
      </w:tr>
      <w:tr>
        <w:tblPrEx>
          <w:shd w:val="clear" w:color="auto" w:fill="cdd4e9"/>
        </w:tblPrEx>
        <w:trPr>
          <w:trHeight w:val="513"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be4d5"/>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17</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be4d5"/>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9 April</w:t>
            </w: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be4d5"/>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Prof Naveena Singh</w:t>
            </w:r>
          </w:p>
        </w:tc>
        <w:tc>
          <w:tcPr>
            <w:tcW w:type="dxa" w:w="4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be4d5"/>
            <w:tcMar>
              <w:top w:type="dxa" w:w="80"/>
              <w:left w:type="dxa" w:w="80"/>
              <w:bottom w:type="dxa" w:w="80"/>
              <w:right w:type="dxa" w:w="80"/>
            </w:tcMar>
            <w:vAlign w:val="top"/>
          </w:tcPr>
          <w:p>
            <w:pPr>
              <w:pStyle w:val="Body A"/>
            </w:pPr>
            <w:r>
              <w:rPr>
                <w:rStyle w:val="None"/>
                <w:rFonts w:ascii="Arial" w:hAnsi="Arial"/>
                <w:sz w:val="22"/>
                <w:szCs w:val="22"/>
                <w:rtl w:val="0"/>
                <w:lang w:val="en-US"/>
              </w:rPr>
              <w:t>Role of Immunostaining in the female genital tract</w:t>
            </w:r>
          </w:p>
        </w:tc>
      </w:tr>
      <w:tr>
        <w:tblPrEx>
          <w:shd w:val="clear" w:color="auto" w:fill="cdd4e9"/>
        </w:tblPrEx>
        <w:trPr>
          <w:trHeight w:val="513"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18</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23 April</w:t>
            </w: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Dr Anne Warren</w:t>
            </w:r>
          </w:p>
        </w:tc>
        <w:tc>
          <w:tcPr>
            <w:tcW w:type="dxa" w:w="4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top"/>
          </w:tcPr>
          <w:p>
            <w:pPr>
              <w:pStyle w:val="Body A"/>
            </w:pPr>
            <w:r>
              <w:rPr>
                <w:rStyle w:val="None"/>
                <w:rFonts w:ascii="Arial" w:hAnsi="Arial"/>
                <w:sz w:val="22"/>
                <w:szCs w:val="22"/>
                <w:rtl w:val="0"/>
                <w:lang w:val="en-US"/>
              </w:rPr>
              <w:t xml:space="preserve">Renal Cell Carcinomas </w:t>
            </w:r>
            <w:r>
              <w:rPr>
                <w:rStyle w:val="None"/>
                <w:rFonts w:ascii="Arial" w:hAnsi="Arial" w:hint="default"/>
                <w:sz w:val="22"/>
                <w:szCs w:val="22"/>
                <w:rtl w:val="0"/>
                <w:lang w:val="en-US"/>
              </w:rPr>
              <w:t xml:space="preserve">– </w:t>
            </w:r>
            <w:r>
              <w:rPr>
                <w:rStyle w:val="None"/>
                <w:rFonts w:ascii="Arial" w:hAnsi="Arial"/>
                <w:sz w:val="22"/>
                <w:szCs w:val="22"/>
                <w:rtl w:val="0"/>
                <w:lang w:val="en-US"/>
              </w:rPr>
              <w:t>syndromic variation and immunostains in the DGH setting</w:t>
            </w:r>
          </w:p>
        </w:tc>
      </w:tr>
      <w:tr>
        <w:tblPrEx>
          <w:shd w:val="clear" w:color="auto" w:fill="cdd4e9"/>
        </w:tblPrEx>
        <w:trPr>
          <w:trHeight w:val="273"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2cc"/>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19</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2cc"/>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7 May</w:t>
            </w: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2cc"/>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Dr Ashish Chandra</w:t>
            </w:r>
          </w:p>
        </w:tc>
        <w:tc>
          <w:tcPr>
            <w:tcW w:type="dxa" w:w="4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2cc"/>
            <w:tcMar>
              <w:top w:type="dxa" w:w="80"/>
              <w:left w:type="dxa" w:w="80"/>
              <w:bottom w:type="dxa" w:w="80"/>
              <w:right w:type="dxa" w:w="80"/>
            </w:tcMar>
            <w:vAlign w:val="top"/>
          </w:tcPr>
          <w:p>
            <w:pPr>
              <w:pStyle w:val="Body A"/>
            </w:pPr>
            <w:r>
              <w:rPr>
                <w:rStyle w:val="None"/>
                <w:rFonts w:ascii="Arial" w:hAnsi="Arial"/>
                <w:sz w:val="22"/>
                <w:szCs w:val="22"/>
                <w:rtl w:val="0"/>
                <w:lang w:val="en-US"/>
              </w:rPr>
              <w:t>Head &amp; Neck Cytology (excluding LN)</w:t>
            </w:r>
          </w:p>
        </w:tc>
      </w:tr>
      <w:tr>
        <w:tblPrEx>
          <w:shd w:val="clear" w:color="auto" w:fill="cdd4e9"/>
        </w:tblPrEx>
        <w:trPr>
          <w:trHeight w:val="753"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2cc"/>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20</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2cc"/>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14 May</w:t>
            </w: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2cc"/>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 xml:space="preserve">Prof Maria Calaminici </w:t>
            </w:r>
          </w:p>
        </w:tc>
        <w:tc>
          <w:tcPr>
            <w:tcW w:type="dxa" w:w="4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2cc"/>
            <w:tcMar>
              <w:top w:type="dxa" w:w="80"/>
              <w:left w:type="dxa" w:w="80"/>
              <w:bottom w:type="dxa" w:w="80"/>
              <w:right w:type="dxa" w:w="80"/>
            </w:tcMar>
            <w:vAlign w:val="top"/>
          </w:tcPr>
          <w:p>
            <w:pPr>
              <w:pStyle w:val="Body A"/>
            </w:pPr>
            <w:r>
              <w:rPr>
                <w:rStyle w:val="None"/>
                <w:rFonts w:ascii="Arial" w:hAnsi="Arial"/>
                <w:sz w:val="22"/>
                <w:szCs w:val="22"/>
                <w:rtl w:val="0"/>
                <w:lang w:val="en-US"/>
              </w:rPr>
              <w:t>Cytopathology of the Lymphoid System: advances and limitations of making a rapid diagnosis</w:t>
            </w:r>
          </w:p>
        </w:tc>
      </w:tr>
      <w:tr>
        <w:tblPrEx>
          <w:shd w:val="clear" w:color="auto" w:fill="cdd4e9"/>
        </w:tblPrEx>
        <w:trPr>
          <w:trHeight w:val="273"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2cc"/>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21</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2cc"/>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21 May</w:t>
            </w: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2cc"/>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Dr Ashish Chandra</w:t>
            </w:r>
          </w:p>
        </w:tc>
        <w:tc>
          <w:tcPr>
            <w:tcW w:type="dxa" w:w="4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2cc"/>
            <w:tcMar>
              <w:top w:type="dxa" w:w="80"/>
              <w:left w:type="dxa" w:w="80"/>
              <w:bottom w:type="dxa" w:w="80"/>
              <w:right w:type="dxa" w:w="80"/>
            </w:tcMar>
            <w:vAlign w:val="top"/>
          </w:tcPr>
          <w:p>
            <w:pPr>
              <w:pStyle w:val="Body A"/>
            </w:pPr>
            <w:r>
              <w:rPr>
                <w:rStyle w:val="None"/>
                <w:rFonts w:ascii="Arial" w:hAnsi="Arial"/>
                <w:sz w:val="22"/>
                <w:szCs w:val="22"/>
                <w:rtl w:val="0"/>
                <w:lang w:val="en-US"/>
              </w:rPr>
              <w:t>Exfoliative cytology including serous effusions</w:t>
            </w:r>
          </w:p>
        </w:tc>
      </w:tr>
      <w:tr>
        <w:tblPrEx>
          <w:shd w:val="clear" w:color="auto" w:fill="cdd4e9"/>
        </w:tblPrEx>
        <w:trPr>
          <w:trHeight w:val="513"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2cc"/>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22</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2cc"/>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28 May</w:t>
            </w: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2cc"/>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Dr Ashish Chandra</w:t>
            </w:r>
          </w:p>
        </w:tc>
        <w:tc>
          <w:tcPr>
            <w:tcW w:type="dxa" w:w="4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2cc"/>
            <w:tcMar>
              <w:top w:type="dxa" w:w="80"/>
              <w:left w:type="dxa" w:w="80"/>
              <w:bottom w:type="dxa" w:w="80"/>
              <w:right w:type="dxa" w:w="80"/>
            </w:tcMar>
            <w:vAlign w:val="top"/>
          </w:tcPr>
          <w:p>
            <w:pPr>
              <w:pStyle w:val="Body A"/>
            </w:pPr>
            <w:r>
              <w:rPr>
                <w:rStyle w:val="None"/>
                <w:rFonts w:ascii="Arial" w:hAnsi="Arial"/>
                <w:sz w:val="22"/>
                <w:szCs w:val="22"/>
                <w:rtl w:val="0"/>
                <w:lang w:val="en-US"/>
              </w:rPr>
              <w:t>Urine Cytology and nuances of Paris Classification</w:t>
            </w:r>
          </w:p>
        </w:tc>
      </w:tr>
      <w:tr>
        <w:tblPrEx>
          <w:shd w:val="clear" w:color="auto" w:fill="cdd4e9"/>
        </w:tblPrEx>
        <w:trPr>
          <w:trHeight w:val="273"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599"/>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23</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599"/>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11 June</w:t>
            </w: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599"/>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Dr Alison Marker</w:t>
            </w:r>
          </w:p>
        </w:tc>
        <w:tc>
          <w:tcPr>
            <w:tcW w:type="dxa" w:w="4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599"/>
            <w:tcMar>
              <w:top w:type="dxa" w:w="80"/>
              <w:left w:type="dxa" w:w="80"/>
              <w:bottom w:type="dxa" w:w="80"/>
              <w:right w:type="dxa" w:w="80"/>
            </w:tcMar>
            <w:vAlign w:val="top"/>
          </w:tcPr>
          <w:p>
            <w:pPr>
              <w:pStyle w:val="Body A"/>
            </w:pPr>
            <w:r>
              <w:rPr>
                <w:rStyle w:val="None"/>
                <w:rFonts w:ascii="Arial" w:hAnsi="Arial"/>
                <w:sz w:val="22"/>
                <w:szCs w:val="22"/>
                <w:rtl w:val="0"/>
                <w:lang w:val="en-US"/>
              </w:rPr>
              <w:t>Head and Neck and Endocrine 2</w:t>
            </w:r>
          </w:p>
        </w:tc>
      </w:tr>
      <w:tr>
        <w:tblPrEx>
          <w:shd w:val="clear" w:color="auto" w:fill="cdd4e9"/>
        </w:tblPrEx>
        <w:trPr>
          <w:trHeight w:val="513"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24</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18 June</w:t>
            </w: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Dr Hibah Ali</w:t>
            </w:r>
          </w:p>
        </w:tc>
        <w:tc>
          <w:tcPr>
            <w:tcW w:type="dxa" w:w="4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Body A"/>
            </w:pPr>
            <w:r>
              <w:rPr>
                <w:rStyle w:val="None"/>
                <w:rFonts w:ascii="Arial" w:hAnsi="Arial"/>
                <w:sz w:val="22"/>
                <w:szCs w:val="22"/>
                <w:rtl w:val="0"/>
                <w:lang w:val="en-US"/>
              </w:rPr>
              <w:t>Everyday Haematopathology: Lymphoma mimics and pitfalls</w:t>
            </w:r>
          </w:p>
        </w:tc>
      </w:tr>
      <w:tr>
        <w:tblPrEx>
          <w:shd w:val="clear" w:color="auto" w:fill="cdd4e9"/>
        </w:tblPrEx>
        <w:trPr>
          <w:trHeight w:val="273"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be4d5"/>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25</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be4d5"/>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25 June</w:t>
            </w: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be4d5"/>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Dr Rupali Aurora</w:t>
            </w:r>
          </w:p>
        </w:tc>
        <w:tc>
          <w:tcPr>
            <w:tcW w:type="dxa" w:w="4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be4d5"/>
            <w:tcMar>
              <w:top w:type="dxa" w:w="80"/>
              <w:left w:type="dxa" w:w="80"/>
              <w:bottom w:type="dxa" w:w="80"/>
              <w:right w:type="dxa" w:w="80"/>
            </w:tcMar>
            <w:vAlign w:val="top"/>
          </w:tcPr>
          <w:p>
            <w:pPr>
              <w:pStyle w:val="Body A"/>
            </w:pPr>
            <w:r>
              <w:rPr>
                <w:rStyle w:val="None"/>
                <w:rFonts w:ascii="Arial" w:hAnsi="Arial"/>
                <w:sz w:val="22"/>
                <w:szCs w:val="22"/>
                <w:rtl w:val="0"/>
                <w:lang w:val="en-US"/>
              </w:rPr>
              <w:t>Borderline tumours and tumours of the Ovary</w:t>
            </w:r>
          </w:p>
        </w:tc>
      </w:tr>
      <w:tr>
        <w:tblPrEx>
          <w:shd w:val="clear" w:color="auto" w:fill="cdd4e9"/>
        </w:tblPrEx>
        <w:trPr>
          <w:trHeight w:val="273"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26</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2 July</w:t>
            </w: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Dr Alex Freeman</w:t>
            </w:r>
          </w:p>
        </w:tc>
        <w:tc>
          <w:tcPr>
            <w:tcW w:type="dxa" w:w="4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top"/>
          </w:tcPr>
          <w:p>
            <w:pPr>
              <w:pStyle w:val="Body A"/>
              <w:tabs>
                <w:tab w:val="left" w:pos="1210"/>
              </w:tabs>
            </w:pPr>
            <w:r>
              <w:rPr>
                <w:rStyle w:val="None"/>
                <w:sz w:val="22"/>
                <w:szCs w:val="22"/>
                <w:rtl w:val="0"/>
                <w:lang w:val="en-US"/>
              </w:rPr>
              <w:t>Update on Reporting Prostatic Cancer</w:t>
            </w:r>
          </w:p>
        </w:tc>
      </w:tr>
      <w:tr>
        <w:tblPrEx>
          <w:shd w:val="clear" w:color="auto" w:fill="cdd4e9"/>
        </w:tblPrEx>
        <w:trPr>
          <w:trHeight w:val="513"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27</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9 July</w:t>
            </w: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 xml:space="preserve">Dr Kieren Allinson </w:t>
            </w:r>
          </w:p>
        </w:tc>
        <w:tc>
          <w:tcPr>
            <w:tcW w:type="dxa" w:w="4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Body A"/>
            </w:pPr>
            <w:r>
              <w:rPr>
                <w:rStyle w:val="None"/>
                <w:rFonts w:ascii="Arial" w:hAnsi="Arial"/>
                <w:sz w:val="22"/>
                <w:szCs w:val="22"/>
                <w:rtl w:val="0"/>
                <w:lang w:val="en-US"/>
              </w:rPr>
              <w:t>Unexpected findings on neuropathological examination of the brain</w:t>
            </w:r>
          </w:p>
        </w:tc>
      </w:tr>
      <w:tr>
        <w:tblPrEx>
          <w:shd w:val="clear" w:color="auto" w:fill="cdd4e9"/>
        </w:tblPrEx>
        <w:trPr>
          <w:trHeight w:val="273"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28</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16 July</w:t>
            </w: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Dr Hibah Ali</w:t>
            </w:r>
          </w:p>
        </w:tc>
        <w:tc>
          <w:tcPr>
            <w:tcW w:type="dxa" w:w="4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Body A"/>
            </w:pPr>
            <w:r>
              <w:rPr>
                <w:rStyle w:val="None"/>
                <w:rFonts w:ascii="Arial" w:hAnsi="Arial"/>
                <w:sz w:val="22"/>
                <w:szCs w:val="22"/>
                <w:rtl w:val="0"/>
                <w:lang w:val="en-US"/>
              </w:rPr>
              <w:t xml:space="preserve">Watch out for Lymphoma: Extra-nodal entities </w:t>
            </w:r>
          </w:p>
        </w:tc>
      </w:tr>
      <w:tr>
        <w:tblPrEx>
          <w:shd w:val="clear" w:color="auto" w:fill="cdd4e9"/>
        </w:tblPrEx>
        <w:trPr>
          <w:trHeight w:val="513"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29</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23 July</w:t>
            </w: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Professor A Flanagan</w:t>
            </w:r>
          </w:p>
        </w:tc>
        <w:tc>
          <w:tcPr>
            <w:tcW w:type="dxa" w:w="4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Body A"/>
            </w:pPr>
            <w:r>
              <w:rPr>
                <w:rStyle w:val="None"/>
                <w:rFonts w:ascii="Arial" w:hAnsi="Arial"/>
                <w:sz w:val="22"/>
                <w:szCs w:val="22"/>
                <w:rtl w:val="0"/>
                <w:lang w:val="en-US"/>
              </w:rPr>
              <w:t>Common malignant soft tissue lesions seen in the DGH setting</w:t>
            </w:r>
          </w:p>
        </w:tc>
      </w:tr>
      <w:tr>
        <w:tblPrEx>
          <w:shd w:val="clear" w:color="auto" w:fill="cdd4e9"/>
        </w:tblPrEx>
        <w:trPr>
          <w:trHeight w:val="513"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30</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30 July</w:t>
            </w: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Body A"/>
            </w:pPr>
            <w:r>
              <w:rPr>
                <w:rStyle w:val="None"/>
                <w:rFonts w:ascii="Arial" w:hAnsi="Arial"/>
                <w:b w:val="1"/>
                <w:bCs w:val="1"/>
                <w:sz w:val="22"/>
                <w:szCs w:val="22"/>
                <w:rtl w:val="0"/>
                <w:lang w:val="en-US"/>
              </w:rPr>
              <w:t xml:space="preserve">Drs Kieren Allinson Martin Goddard </w:t>
            </w:r>
          </w:p>
        </w:tc>
        <w:tc>
          <w:tcPr>
            <w:tcW w:type="dxa" w:w="4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Body A"/>
            </w:pPr>
            <w:r>
              <w:rPr>
                <w:rStyle w:val="None"/>
                <w:rFonts w:ascii="Arial" w:hAnsi="Arial"/>
                <w:sz w:val="22"/>
                <w:szCs w:val="22"/>
                <w:rtl w:val="0"/>
                <w:lang w:val="en-US"/>
              </w:rPr>
              <w:t>Post-mortem examination of the Cardio-respiratory system and the Brain: Update</w:t>
            </w:r>
          </w:p>
        </w:tc>
      </w:tr>
    </w:tbl>
    <w:p>
      <w:pPr>
        <w:pStyle w:val="Body A"/>
        <w:widowControl w:val="0"/>
        <w:ind w:left="324" w:hanging="324"/>
        <w:rPr>
          <w:rStyle w:val="None"/>
          <w:rFonts w:ascii="Arial" w:cs="Arial" w:hAnsi="Arial" w:eastAsia="Arial"/>
        </w:rPr>
      </w:pPr>
    </w:p>
    <w:p>
      <w:pPr>
        <w:pStyle w:val="Body A"/>
        <w:widowControl w:val="0"/>
        <w:ind w:left="216" w:hanging="216"/>
        <w:rPr>
          <w:rStyle w:val="None"/>
          <w:rFonts w:ascii="Arial" w:cs="Arial" w:hAnsi="Arial" w:eastAsia="Arial"/>
        </w:rPr>
      </w:pPr>
    </w:p>
    <w:p>
      <w:pPr>
        <w:pStyle w:val="Body A"/>
        <w:widowControl w:val="0"/>
        <w:ind w:left="108" w:hanging="108"/>
        <w:rPr>
          <w:rStyle w:val="None"/>
          <w:rFonts w:ascii="Arial" w:cs="Arial" w:hAnsi="Arial" w:eastAsia="Arial"/>
        </w:rPr>
      </w:pPr>
    </w:p>
    <w:p>
      <w:pPr>
        <w:pStyle w:val="Body A"/>
        <w:widowControl w:val="0"/>
        <w:rPr>
          <w:rStyle w:val="None"/>
          <w:rFonts w:ascii="Arial" w:cs="Arial" w:hAnsi="Arial" w:eastAsia="Arial"/>
        </w:rPr>
      </w:pPr>
    </w:p>
    <w:p>
      <w:pPr>
        <w:pStyle w:val="Default"/>
        <w:spacing w:before="0" w:line="240" w:lineRule="auto"/>
        <w:rPr>
          <w:rStyle w:val="None"/>
          <w:rFonts w:ascii="Arial" w:cs="Arial" w:hAnsi="Arial" w:eastAsia="Arial"/>
          <w:sz w:val="42"/>
          <w:szCs w:val="42"/>
        </w:rPr>
      </w:pPr>
      <w:r>
        <w:rPr>
          <w:rStyle w:val="None"/>
          <w:rFonts w:ascii="Arial" w:hAnsi="Arial"/>
          <w:sz w:val="42"/>
          <w:szCs w:val="42"/>
          <w:rtl w:val="0"/>
          <w:lang w:val="en-US"/>
        </w:rPr>
        <w:t>Registration link for Season 2 30 webinar series</w:t>
      </w:r>
    </w:p>
    <w:p>
      <w:pPr>
        <w:pStyle w:val="Default"/>
        <w:spacing w:before="0" w:line="240" w:lineRule="auto"/>
        <w:rPr>
          <w:rStyle w:val="None"/>
          <w:rFonts w:ascii="Arial" w:cs="Arial" w:hAnsi="Arial" w:eastAsia="Arial"/>
          <w:sz w:val="42"/>
          <w:szCs w:val="42"/>
        </w:rPr>
      </w:pPr>
    </w:p>
    <w:p>
      <w:pPr>
        <w:pStyle w:val="Default"/>
        <w:spacing w:before="0" w:line="240" w:lineRule="auto"/>
      </w:pPr>
      <w:r>
        <w:rPr>
          <w:rStyle w:val="None"/>
          <w:rFonts w:ascii="Arial" w:hAnsi="Arial"/>
          <w:outline w:val="0"/>
          <w:color w:val="007aff"/>
          <w:sz w:val="42"/>
          <w:szCs w:val="42"/>
          <w:u w:val="single" w:color="0079ff"/>
          <w:rtl w:val="0"/>
          <w:lang w:val="de-DE"/>
        </w:rPr>
        <w:t>https://forms.gle/DcPhwYdgEX1LHKh17</w:t>
      </w:r>
    </w:p>
    <w:sectPr>
      <w:headerReference w:type="default" r:id="rId7"/>
      <w:footerReference w:type="default" r:id="rId8"/>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rFonts w:ascii="Arial" w:cs="Arial" w:hAnsi="Arial" w:eastAsia="Arial"/>
      <w:b w:val="1"/>
      <w:bCs w:val="1"/>
      <w:outline w:val="0"/>
      <w:color w:val="0563c1"/>
      <w:u w:val="single" w:color="0563c1"/>
    </w:rPr>
  </w:style>
  <w:style w:type="character" w:styleId="Hyperlink.1">
    <w:name w:val="Hyperlink.1"/>
    <w:basedOn w:val="None"/>
    <w:next w:val="Hyperlink.1"/>
    <w:rPr>
      <w:rFonts w:ascii="Arial" w:cs="Arial" w:hAnsi="Arial" w:eastAsia="Arial"/>
      <w:outline w:val="0"/>
      <w:color w:val="0000ff"/>
      <w:u w:val="single" w:color="0000ff"/>
      <w:lang w:val="en-US"/>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